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C17B" w14:textId="7FFA7EE2" w:rsidR="003C5BD1" w:rsidRPr="003C5BD1" w:rsidRDefault="003C5BD1" w:rsidP="003C5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C5BD1">
        <w:rPr>
          <w:rFonts w:ascii="Times New Roman" w:eastAsia="Times New Roman" w:hAnsi="Times New Roman" w:cs="Times New Roman"/>
          <w:noProof/>
          <w:sz w:val="26"/>
          <w:szCs w:val="26"/>
          <w:lang w:eastAsia="lv-LV"/>
        </w:rPr>
        <w:drawing>
          <wp:inline distT="0" distB="0" distL="0" distR="0" wp14:anchorId="7FA75F58" wp14:editId="71A5C81A">
            <wp:extent cx="647700" cy="742950"/>
            <wp:effectExtent l="0" t="0" r="0" b="0"/>
            <wp:docPr id="1" name="Picture 1" descr="_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781C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C5BD1">
        <w:rPr>
          <w:rFonts w:ascii="Times New Roman" w:eastAsia="Times New Roman" w:hAnsi="Times New Roman" w:cs="Times New Roman"/>
          <w:sz w:val="17"/>
          <w:szCs w:val="17"/>
        </w:rPr>
        <w:t>LATVIJAS  REPUBLIKA</w:t>
      </w:r>
    </w:p>
    <w:p w14:paraId="13D47748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8F0C5F8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BD1">
        <w:rPr>
          <w:rFonts w:ascii="Times New Roman" w:eastAsia="Times New Roman" w:hAnsi="Times New Roman" w:cs="Times New Roman"/>
          <w:b/>
        </w:rPr>
        <w:t xml:space="preserve"> SABIEDRĪBA  AR  IEROBEŽOTU  ATBILDĪBU</w:t>
      </w:r>
    </w:p>
    <w:p w14:paraId="27E79981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AF8BE9B" w14:textId="77777777" w:rsidR="003C5BD1" w:rsidRPr="003C5BD1" w:rsidRDefault="003C5BD1" w:rsidP="003C5B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BD1">
        <w:rPr>
          <w:rFonts w:ascii="Times New Roman" w:eastAsia="Times New Roman" w:hAnsi="Times New Roman" w:cs="Times New Roman"/>
          <w:b/>
          <w:sz w:val="26"/>
          <w:szCs w:val="26"/>
        </w:rPr>
        <w:t>“LIEPĀJAS TRAMVAJS”</w:t>
      </w:r>
    </w:p>
    <w:p w14:paraId="33B52ADC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1"/>
          <w:szCs w:val="11"/>
          <w:lang w:val="en-GB"/>
        </w:rPr>
      </w:pPr>
    </w:p>
    <w:tbl>
      <w:tblPr>
        <w:tblW w:w="9180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C5BD1" w:rsidRPr="003C5BD1" w14:paraId="730A2011" w14:textId="77777777" w:rsidTr="003C5BD1">
        <w:trPr>
          <w:trHeight w:val="433"/>
          <w:jc w:val="center"/>
        </w:trPr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39F8C9" w14:textId="77777777" w:rsidR="003C5BD1" w:rsidRPr="003C5BD1" w:rsidRDefault="003C5BD1" w:rsidP="003C5BD1">
            <w:pPr>
              <w:spacing w:after="0" w:line="24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>eģ.nr.</w:t>
            </w:r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>42103005911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Rīgas ielā </w:t>
            </w:r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a, </w:t>
            </w:r>
            <w:smartTag w:uri="urn:schemas-microsoft-com:office:smarttags" w:element="City">
              <w:r w:rsidRPr="003C5BD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Liepājā</w:t>
              </w:r>
            </w:smartTag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C5BD1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LV</w:t>
                </w:r>
              </w:smartTag>
            </w:smartTag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-3401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tālr.: </w:t>
            </w:r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>6 3424536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fakss: </w:t>
            </w:r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>63424546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>, e-pasts: ltramvajs@ltramvajs.lv</w:t>
            </w:r>
          </w:p>
        </w:tc>
      </w:tr>
    </w:tbl>
    <w:p w14:paraId="51EDE1C1" w14:textId="77777777" w:rsidR="003C5BD1" w:rsidRDefault="003C5BD1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DFA965C" w14:textId="1D0EF72D" w:rsidR="003C5BD1" w:rsidRPr="0082085E" w:rsidRDefault="0025499F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  <w:r w:rsidRPr="0082085E">
        <w:rPr>
          <w:rFonts w:ascii="Times New Roman" w:hAnsi="Times New Roman" w:cs="Times New Roman"/>
          <w:noProof/>
        </w:rPr>
        <w:t>2</w:t>
      </w:r>
      <w:r w:rsidR="00CB1234" w:rsidRPr="0082085E">
        <w:rPr>
          <w:rFonts w:ascii="Times New Roman" w:hAnsi="Times New Roman" w:cs="Times New Roman"/>
          <w:noProof/>
        </w:rPr>
        <w:t>1</w:t>
      </w:r>
      <w:r w:rsidR="003C5BD1" w:rsidRPr="0082085E">
        <w:rPr>
          <w:rFonts w:ascii="Times New Roman" w:hAnsi="Times New Roman" w:cs="Times New Roman"/>
          <w:noProof/>
        </w:rPr>
        <w:t>.0</w:t>
      </w:r>
      <w:r w:rsidR="0004706B" w:rsidRPr="0082085E">
        <w:rPr>
          <w:rFonts w:ascii="Times New Roman" w:hAnsi="Times New Roman" w:cs="Times New Roman"/>
          <w:noProof/>
        </w:rPr>
        <w:t>4</w:t>
      </w:r>
      <w:r w:rsidR="003C5BD1" w:rsidRPr="0082085E">
        <w:rPr>
          <w:rFonts w:ascii="Times New Roman" w:hAnsi="Times New Roman" w:cs="Times New Roman"/>
          <w:noProof/>
        </w:rPr>
        <w:t>.2017.</w:t>
      </w:r>
    </w:p>
    <w:p w14:paraId="2FA3D3E9" w14:textId="77777777" w:rsidR="009346D4" w:rsidRPr="0082085E" w:rsidRDefault="009346D4" w:rsidP="008B4C9C">
      <w:pPr>
        <w:pStyle w:val="Header"/>
        <w:tabs>
          <w:tab w:val="clear" w:pos="4153"/>
          <w:tab w:val="clear" w:pos="8306"/>
          <w:tab w:val="left" w:pos="3261"/>
        </w:tabs>
        <w:jc w:val="center"/>
        <w:rPr>
          <w:rFonts w:ascii="Times New Roman" w:hAnsi="Times New Roman" w:cs="Times New Roman"/>
          <w:b/>
          <w:noProof/>
        </w:rPr>
      </w:pPr>
    </w:p>
    <w:p w14:paraId="41206CCC" w14:textId="5730BA69" w:rsidR="003151D0" w:rsidRPr="0082085E" w:rsidRDefault="003151D0" w:rsidP="008B4C9C">
      <w:pPr>
        <w:pStyle w:val="Header"/>
        <w:tabs>
          <w:tab w:val="clear" w:pos="4153"/>
          <w:tab w:val="clear" w:pos="8306"/>
          <w:tab w:val="left" w:pos="3261"/>
        </w:tabs>
        <w:jc w:val="center"/>
        <w:rPr>
          <w:rFonts w:ascii="Times New Roman" w:hAnsi="Times New Roman" w:cs="Times New Roman"/>
          <w:b/>
          <w:noProof/>
        </w:rPr>
      </w:pPr>
      <w:r w:rsidRPr="0082085E">
        <w:rPr>
          <w:rFonts w:ascii="Times New Roman" w:hAnsi="Times New Roman" w:cs="Times New Roman"/>
          <w:b/>
          <w:noProof/>
        </w:rPr>
        <w:t xml:space="preserve">Atklāta konkursa </w:t>
      </w:r>
      <w:r w:rsidR="00687CB4" w:rsidRPr="0082085E">
        <w:rPr>
          <w:rFonts w:ascii="Times New Roman" w:hAnsi="Times New Roman" w:cs="Times New Roman"/>
          <w:b/>
          <w:noProof/>
        </w:rPr>
        <w:t xml:space="preserve">„Tramvaja līnijas un piegulošās teritorijas kompleksa </w:t>
      </w:r>
      <w:r w:rsidR="00446762" w:rsidRPr="0082085E">
        <w:rPr>
          <w:rFonts w:ascii="Times New Roman" w:hAnsi="Times New Roman" w:cs="Times New Roman"/>
          <w:b/>
          <w:noProof/>
        </w:rPr>
        <w:t xml:space="preserve">pārbūve, </w:t>
      </w:r>
      <w:r w:rsidR="00687CB4" w:rsidRPr="0082085E">
        <w:rPr>
          <w:rFonts w:ascii="Times New Roman" w:hAnsi="Times New Roman" w:cs="Times New Roman"/>
          <w:b/>
          <w:noProof/>
        </w:rPr>
        <w:t>Liepājā"</w:t>
      </w:r>
      <w:r w:rsidR="00BD1C72" w:rsidRPr="0082085E">
        <w:rPr>
          <w:rFonts w:ascii="Times New Roman" w:hAnsi="Times New Roman" w:cs="Times New Roman"/>
          <w:b/>
          <w:noProof/>
        </w:rPr>
        <w:t xml:space="preserve"> Nr. LT </w:t>
      </w:r>
      <w:r w:rsidRPr="0082085E">
        <w:rPr>
          <w:rFonts w:ascii="Times New Roman" w:hAnsi="Times New Roman" w:cs="Times New Roman"/>
          <w:b/>
          <w:noProof/>
        </w:rPr>
        <w:t>2017/</w:t>
      </w:r>
      <w:r w:rsidR="00BD1C72" w:rsidRPr="0082085E">
        <w:rPr>
          <w:rFonts w:ascii="Times New Roman" w:hAnsi="Times New Roman" w:cs="Times New Roman"/>
          <w:b/>
          <w:noProof/>
        </w:rPr>
        <w:t>2</w:t>
      </w:r>
    </w:p>
    <w:p w14:paraId="13FAB37E" w14:textId="347E8179" w:rsidR="00687CB4" w:rsidRPr="0082085E" w:rsidRDefault="003151D0" w:rsidP="008B4C9C">
      <w:pPr>
        <w:pStyle w:val="Header"/>
        <w:tabs>
          <w:tab w:val="clear" w:pos="4153"/>
          <w:tab w:val="clear" w:pos="8306"/>
          <w:tab w:val="left" w:pos="3261"/>
        </w:tabs>
        <w:jc w:val="center"/>
        <w:rPr>
          <w:rFonts w:ascii="Times New Roman" w:hAnsi="Times New Roman" w:cs="Times New Roman"/>
          <w:b/>
          <w:noProof/>
        </w:rPr>
      </w:pPr>
      <w:r w:rsidRPr="0082085E">
        <w:rPr>
          <w:rFonts w:ascii="Times New Roman" w:hAnsi="Times New Roman" w:cs="Times New Roman"/>
          <w:b/>
          <w:noProof/>
        </w:rPr>
        <w:t xml:space="preserve">skaidrojumi </w:t>
      </w:r>
      <w:r w:rsidR="00A2540F" w:rsidRPr="0082085E">
        <w:rPr>
          <w:rFonts w:ascii="Times New Roman" w:hAnsi="Times New Roman" w:cs="Times New Roman"/>
          <w:b/>
          <w:noProof/>
        </w:rPr>
        <w:t>Nr.</w:t>
      </w:r>
      <w:r w:rsidR="0025499F" w:rsidRPr="0082085E">
        <w:rPr>
          <w:rFonts w:ascii="Times New Roman" w:hAnsi="Times New Roman" w:cs="Times New Roman"/>
          <w:b/>
          <w:noProof/>
        </w:rPr>
        <w:t>4</w:t>
      </w:r>
    </w:p>
    <w:p w14:paraId="3B054BDD" w14:textId="77777777" w:rsidR="009346D4" w:rsidRPr="0082085E" w:rsidRDefault="009346D4" w:rsidP="008B4C9C">
      <w:pPr>
        <w:pStyle w:val="Header"/>
        <w:tabs>
          <w:tab w:val="clear" w:pos="4153"/>
          <w:tab w:val="clear" w:pos="8306"/>
          <w:tab w:val="left" w:pos="3261"/>
        </w:tabs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6492"/>
        <w:gridCol w:w="7116"/>
      </w:tblGrid>
      <w:tr w:rsidR="0004706B" w:rsidRPr="0082085E" w14:paraId="4FFFB7F0" w14:textId="77777777" w:rsidTr="006A251A">
        <w:trPr>
          <w:trHeight w:val="286"/>
        </w:trPr>
        <w:tc>
          <w:tcPr>
            <w:tcW w:w="562" w:type="dxa"/>
          </w:tcPr>
          <w:p w14:paraId="4785865B" w14:textId="2EBC14A0" w:rsidR="0004706B" w:rsidRPr="0082085E" w:rsidRDefault="00BD2A03">
            <w:pPr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1</w:t>
            </w:r>
            <w:r w:rsidR="00FE4E7E" w:rsidRPr="00820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2" w:type="dxa"/>
          </w:tcPr>
          <w:p w14:paraId="5FFEB885" w14:textId="1AEAFA3A" w:rsidR="00FE4E7E" w:rsidRPr="0082085E" w:rsidRDefault="00FE4E7E" w:rsidP="00FE4E7E">
            <w:pPr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 xml:space="preserve">Jautājums </w:t>
            </w:r>
            <w:r w:rsidR="00A2540F" w:rsidRPr="0082085E">
              <w:rPr>
                <w:rFonts w:ascii="Times New Roman" w:hAnsi="Times New Roman" w:cs="Times New Roman"/>
                <w:b/>
              </w:rPr>
              <w:t>1</w:t>
            </w:r>
            <w:r w:rsidRPr="0082085E">
              <w:rPr>
                <w:rFonts w:ascii="Times New Roman" w:hAnsi="Times New Roman" w:cs="Times New Roman"/>
                <w:b/>
              </w:rPr>
              <w:t>:</w:t>
            </w:r>
          </w:p>
          <w:p w14:paraId="4C1A79A5" w14:textId="77777777" w:rsidR="00FE4E7E" w:rsidRPr="0082085E" w:rsidRDefault="00FE4E7E" w:rsidP="00F729FF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Saskaņā ar konkursa nolikuma 3.12.punkta (Pretendenta pieredze) un 3.14.3.punkta (Tiltu būvdarbu vadītāja pieredze) nosacījumiem tiek prasīta pieredze "tilta izbūves vai pārbūves būvdarbos".</w:t>
            </w:r>
          </w:p>
          <w:p w14:paraId="2EB98928" w14:textId="77777777" w:rsidR="00FE4E7E" w:rsidRPr="0082085E" w:rsidRDefault="00FE4E7E" w:rsidP="00F729FF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Lūdzam precizēt, vai par konkursa nolikuma 3.12. un 3.14.3.punktu prasībām atbilstošiem tiks uzskatīti arī ceļu pārvadu, viaduktu un estakāžu izbūves vai pārbūves būvdarbi?</w:t>
            </w:r>
          </w:p>
          <w:p w14:paraId="1ECF91AF" w14:textId="1331DF0B" w:rsidR="00FE4E7E" w:rsidRPr="0082085E" w:rsidRDefault="00FE4E7E" w:rsidP="00F729FF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Papildus norādām, ka atbilstoši 2009.gada 22.decembra Ministru kabineta noteikumu Nr.l62</w:t>
            </w:r>
            <w:r w:rsidR="00AB257E" w:rsidRPr="0082085E">
              <w:rPr>
                <w:rFonts w:ascii="Times New Roman" w:hAnsi="Times New Roman" w:cs="Times New Roman"/>
              </w:rPr>
              <w:t>0</w:t>
            </w:r>
            <w:r w:rsidRPr="0082085E">
              <w:rPr>
                <w:rFonts w:ascii="Times New Roman" w:hAnsi="Times New Roman" w:cs="Times New Roman"/>
              </w:rPr>
              <w:t xml:space="preserve"> "Noteikumi par būvju klasifikāciju" pielikumam "Būvju klasifikācija" vienotā grupā ar kodu "2141" un nosaukumu "Ti</w:t>
            </w:r>
            <w:r w:rsidR="00AB257E" w:rsidRPr="0082085E">
              <w:rPr>
                <w:rFonts w:ascii="Times New Roman" w:hAnsi="Times New Roman" w:cs="Times New Roman"/>
              </w:rPr>
              <w:t>lti un estakādes" ietilpst tilti, c</w:t>
            </w:r>
            <w:r w:rsidRPr="0082085E">
              <w:rPr>
                <w:rFonts w:ascii="Times New Roman" w:hAnsi="Times New Roman" w:cs="Times New Roman"/>
              </w:rPr>
              <w:t>eļu pārvadi, viadukti un</w:t>
            </w:r>
            <w:r w:rsidR="00AB257E" w:rsidRPr="0082085E">
              <w:rPr>
                <w:rFonts w:ascii="Times New Roman" w:hAnsi="Times New Roman" w:cs="Times New Roman"/>
              </w:rPr>
              <w:t xml:space="preserve"> estakādes.</w:t>
            </w:r>
          </w:p>
          <w:p w14:paraId="68803F20" w14:textId="7B46720C" w:rsidR="0004706B" w:rsidRPr="0082085E" w:rsidRDefault="00FE4E7E">
            <w:pPr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6" w:type="dxa"/>
          </w:tcPr>
          <w:p w14:paraId="3237460A" w14:textId="6B82843C" w:rsidR="00CF4559" w:rsidRPr="0082085E" w:rsidRDefault="00382606" w:rsidP="00191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>Skaidrojums</w:t>
            </w:r>
            <w:r w:rsidR="00CF4559" w:rsidRPr="0082085E">
              <w:rPr>
                <w:rFonts w:ascii="Times New Roman" w:hAnsi="Times New Roman" w:cs="Times New Roman"/>
                <w:b/>
              </w:rPr>
              <w:t xml:space="preserve"> 1</w:t>
            </w:r>
            <w:r w:rsidRPr="0082085E">
              <w:rPr>
                <w:rFonts w:ascii="Times New Roman" w:hAnsi="Times New Roman" w:cs="Times New Roman"/>
                <w:b/>
              </w:rPr>
              <w:t>:</w:t>
            </w:r>
          </w:p>
          <w:p w14:paraId="518A3EA5" w14:textId="1ADEC5DD" w:rsidR="00382606" w:rsidRPr="0082085E" w:rsidRDefault="00EA3260" w:rsidP="00191441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Ņemot vērā, ka ir pamatoti nolikuma 3.12.un 3.14.3.punktos izvirzītajām prasībām uzrādīt pieredzes objektus, kas funkcionāli un konstruktīvi atbilst tilta objektam</w:t>
            </w:r>
            <w:r w:rsidR="00AB6AA8" w:rsidRPr="0082085E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82085E">
              <w:rPr>
                <w:rFonts w:ascii="Times New Roman" w:hAnsi="Times New Roman" w:cs="Times New Roman"/>
              </w:rPr>
              <w:t xml:space="preserve"> un ievērojot Ministru kabineta 2009.gada 22.decembra noteikumos Nr.1620 “Noteikumi par būvju klasifikāciju” doto būvju klasifikāciju</w:t>
            </w:r>
            <w:r w:rsidR="00AB6AA8" w:rsidRPr="0082085E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82085E">
              <w:rPr>
                <w:rFonts w:ascii="Times New Roman" w:hAnsi="Times New Roman" w:cs="Times New Roman"/>
              </w:rPr>
              <w:t xml:space="preserve">, Komisija </w:t>
            </w:r>
            <w:r w:rsidR="00382606" w:rsidRPr="0082085E">
              <w:rPr>
                <w:rFonts w:ascii="Times New Roman" w:hAnsi="Times New Roman" w:cs="Times New Roman"/>
              </w:rPr>
              <w:t xml:space="preserve">11.04.2017. ir </w:t>
            </w:r>
            <w:r w:rsidRPr="0082085E">
              <w:rPr>
                <w:rFonts w:ascii="Times New Roman" w:hAnsi="Times New Roman" w:cs="Times New Roman"/>
              </w:rPr>
              <w:t>precizē</w:t>
            </w:r>
            <w:r w:rsidR="00382606" w:rsidRPr="0082085E">
              <w:rPr>
                <w:rFonts w:ascii="Times New Roman" w:hAnsi="Times New Roman" w:cs="Times New Roman"/>
              </w:rPr>
              <w:t>jusi</w:t>
            </w:r>
            <w:r w:rsidRPr="0082085E">
              <w:rPr>
                <w:rFonts w:ascii="Times New Roman" w:hAnsi="Times New Roman" w:cs="Times New Roman"/>
              </w:rPr>
              <w:t xml:space="preserve"> nolikuma 3.12.un 3.14.3.punktos no</w:t>
            </w:r>
            <w:r w:rsidR="00382606" w:rsidRPr="0082085E">
              <w:rPr>
                <w:rFonts w:ascii="Times New Roman" w:hAnsi="Times New Roman" w:cs="Times New Roman"/>
              </w:rPr>
              <w:t xml:space="preserve">teiktās kvalifikācijas prasības, nosakot, ka par atbilstošu pieredzi tiks atzīta pieredze </w:t>
            </w:r>
            <w:bookmarkStart w:id="0" w:name="_GoBack"/>
            <w:bookmarkEnd w:id="0"/>
            <w:r w:rsidR="00512A70" w:rsidRPr="0082085E">
              <w:rPr>
                <w:rFonts w:ascii="Times New Roman" w:hAnsi="Times New Roman" w:cs="Times New Roman"/>
              </w:rPr>
              <w:t xml:space="preserve">vismaz viena tilta (vai viadukta vai ceļu pārvada) infrastruktūras būvobjekta izbūvē vai pārbūvē, ja </w:t>
            </w:r>
            <w:r w:rsidR="00755C98" w:rsidRPr="0082085E">
              <w:rPr>
                <w:rFonts w:ascii="Times New Roman" w:hAnsi="Times New Roman" w:cs="Times New Roman"/>
              </w:rPr>
              <w:t>vienlaikus tiks izpildītas nolikuma 3.12. un 3.14.3. punktos noteiktās prasības.</w:t>
            </w:r>
          </w:p>
          <w:p w14:paraId="4E336895" w14:textId="3F922ADD" w:rsidR="00EA3260" w:rsidRPr="0082085E" w:rsidRDefault="00382606" w:rsidP="00191441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 xml:space="preserve">Grozījumi publicēti 13.04.2017. </w:t>
            </w:r>
            <w:hyperlink r:id="rId10" w:history="1">
              <w:r w:rsidRPr="0082085E">
                <w:rPr>
                  <w:rStyle w:val="Hyperlink"/>
                  <w:rFonts w:ascii="Times New Roman" w:hAnsi="Times New Roman" w:cs="Times New Roman"/>
                </w:rPr>
                <w:t>www.liepajas-tramvajs.lv/lv/iepirkumi</w:t>
              </w:r>
            </w:hyperlink>
          </w:p>
          <w:p w14:paraId="15E067FC" w14:textId="77777777" w:rsidR="00382606" w:rsidRPr="0082085E" w:rsidRDefault="00382606" w:rsidP="00191441">
            <w:pPr>
              <w:jc w:val="both"/>
              <w:rPr>
                <w:rFonts w:ascii="Times New Roman" w:hAnsi="Times New Roman" w:cs="Times New Roman"/>
              </w:rPr>
            </w:pPr>
          </w:p>
          <w:p w14:paraId="0FA52315" w14:textId="78688370" w:rsidR="00382606" w:rsidRPr="0082085E" w:rsidRDefault="00382606" w:rsidP="00382606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Komisija skaidro, ka par atbilstošu pieredzi netiks atzīta pieredze estakādes izbūvē, jo s</w:t>
            </w:r>
            <w:r w:rsidR="00512A70" w:rsidRPr="0082085E">
              <w:rPr>
                <w:rFonts w:ascii="Times New Roman" w:hAnsi="Times New Roman" w:cs="Times New Roman"/>
              </w:rPr>
              <w:t>askaņā ar 2009.gada 22.decembra Ministru kabineta noteikumu Nr.l620 "Noteikumi par būvju klasifikāciju" pielikumā norādīto skaidrojumu -</w:t>
            </w:r>
            <w:r w:rsidRPr="0082085E">
              <w:rPr>
                <w:rFonts w:ascii="Times New Roman" w:hAnsi="Times New Roman" w:cs="Times New Roman"/>
              </w:rPr>
              <w:t xml:space="preserve">  “214103. Estakādes - Konstrukcijas kravu izkraušanai, transportlīdzekļu </w:t>
            </w:r>
            <w:r w:rsidRPr="0082085E">
              <w:rPr>
                <w:rFonts w:ascii="Times New Roman" w:hAnsi="Times New Roman" w:cs="Times New Roman"/>
              </w:rPr>
              <w:lastRenderedPageBreak/>
              <w:t>n</w:t>
            </w:r>
            <w:r w:rsidR="00512A70" w:rsidRPr="0082085E">
              <w:rPr>
                <w:rFonts w:ascii="Times New Roman" w:hAnsi="Times New Roman" w:cs="Times New Roman"/>
              </w:rPr>
              <w:t>ovietošanai un citām vajadzībām” estakādes neatbilst noteiktajiem raksturlielumiem par satiksmes intensitāti.</w:t>
            </w:r>
            <w:r w:rsidRPr="0082085E">
              <w:rPr>
                <w:rFonts w:ascii="Times New Roman" w:hAnsi="Times New Roman" w:cs="Times New Roman"/>
              </w:rPr>
              <w:t xml:space="preserve"> </w:t>
            </w:r>
          </w:p>
          <w:p w14:paraId="1DE48436" w14:textId="48D54AE1" w:rsidR="00382606" w:rsidRPr="0082085E" w:rsidRDefault="00512A70" w:rsidP="00382606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Atbilstoši minētajiem MK noteikumiem, n</w:t>
            </w:r>
            <w:r w:rsidR="00382606" w:rsidRPr="0082085E">
              <w:rPr>
                <w:rFonts w:ascii="Times New Roman" w:hAnsi="Times New Roman" w:cs="Times New Roman"/>
              </w:rPr>
              <w:t>osakot būves tipu, ir ņemts vērā būves galvenais lietošanas veids un tās tehniskie rādītāji</w:t>
            </w:r>
            <w:r w:rsidRPr="0082085E">
              <w:rPr>
                <w:rFonts w:ascii="Times New Roman" w:hAnsi="Times New Roman" w:cs="Times New Roman"/>
              </w:rPr>
              <w:t>.</w:t>
            </w:r>
            <w:r w:rsidR="00382606" w:rsidRPr="0082085E">
              <w:rPr>
                <w:rFonts w:ascii="Times New Roman" w:hAnsi="Times New Roman" w:cs="Times New Roman"/>
              </w:rPr>
              <w:t xml:space="preserve"> </w:t>
            </w:r>
          </w:p>
          <w:p w14:paraId="1B02A850" w14:textId="1CE87BDD" w:rsidR="003418E7" w:rsidRPr="0082085E" w:rsidRDefault="003418E7" w:rsidP="00EA326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5499F" w:rsidRPr="0082085E" w14:paraId="378ADFE1" w14:textId="77777777" w:rsidTr="005463B8">
        <w:trPr>
          <w:trHeight w:val="286"/>
        </w:trPr>
        <w:tc>
          <w:tcPr>
            <w:tcW w:w="562" w:type="dxa"/>
          </w:tcPr>
          <w:p w14:paraId="09A207F4" w14:textId="5D01DE20" w:rsidR="0025499F" w:rsidRPr="0082085E" w:rsidRDefault="0025499F">
            <w:pPr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492" w:type="dxa"/>
          </w:tcPr>
          <w:p w14:paraId="11A0251B" w14:textId="1D2D08CF" w:rsidR="0025499F" w:rsidRPr="0082085E" w:rsidRDefault="0025499F" w:rsidP="0025499F">
            <w:pPr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>Jautājums 2:</w:t>
            </w:r>
          </w:p>
          <w:p w14:paraId="65908EBD" w14:textId="2A7D6652" w:rsidR="0025499F" w:rsidRPr="0082085E" w:rsidRDefault="0025499F" w:rsidP="0082085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Tehniskā projekta rasējuma lapā BK-018, mezgls „A", šuves enkurojuma betonēšanai saskaņā ar apzīmējumu ir norādīts polimērbetons, bet rasējuma lapā BK-022, griezums 1-1 šuves enkurojuma betonēšanai saskaņā ar apzīmējumu ir norādīts jaunais betons C30/37, kāds ir paredzēts betons enkurojuma iebetonēšanai?</w:t>
            </w:r>
          </w:p>
        </w:tc>
        <w:tc>
          <w:tcPr>
            <w:tcW w:w="7116" w:type="dxa"/>
          </w:tcPr>
          <w:p w14:paraId="189A8835" w14:textId="270EF731" w:rsidR="00B50C02" w:rsidRPr="0082085E" w:rsidRDefault="00B50C02" w:rsidP="00B50C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 xml:space="preserve">Skaidrojums </w:t>
            </w:r>
            <w:r w:rsidR="00755C98" w:rsidRPr="0082085E">
              <w:rPr>
                <w:rFonts w:ascii="Times New Roman" w:hAnsi="Times New Roman" w:cs="Times New Roman"/>
                <w:b/>
              </w:rPr>
              <w:t>2</w:t>
            </w:r>
            <w:r w:rsidRPr="0082085E">
              <w:rPr>
                <w:rFonts w:ascii="Times New Roman" w:hAnsi="Times New Roman" w:cs="Times New Roman"/>
                <w:b/>
              </w:rPr>
              <w:t>:</w:t>
            </w:r>
          </w:p>
          <w:p w14:paraId="12E36854" w14:textId="77777777" w:rsidR="00B50C02" w:rsidRPr="0082085E" w:rsidRDefault="00B50C02" w:rsidP="00B50C02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Rasējumā BK-022 C30/37 apzīmējums dots pārejas plātnei, polimērbetonam apzīmējums nav uzrādīts. Visas deformācijas šuves aizlejamas ar šuvju piegādātāja specificētu ūdensnecaurlaidīgu polimērbetonu.</w:t>
            </w:r>
          </w:p>
          <w:p w14:paraId="2817E3CC" w14:textId="7FE04D4D" w:rsidR="0025499F" w:rsidRPr="0082085E" w:rsidRDefault="0025499F" w:rsidP="00B50C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99F" w:rsidRPr="0082085E" w14:paraId="2363CCCF" w14:textId="77777777" w:rsidTr="005463B8">
        <w:trPr>
          <w:trHeight w:val="286"/>
        </w:trPr>
        <w:tc>
          <w:tcPr>
            <w:tcW w:w="562" w:type="dxa"/>
          </w:tcPr>
          <w:p w14:paraId="5841AA08" w14:textId="758148CC" w:rsidR="0025499F" w:rsidRPr="0082085E" w:rsidRDefault="0025499F">
            <w:pPr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2" w:type="dxa"/>
          </w:tcPr>
          <w:p w14:paraId="63B7B833" w14:textId="3A77E4ED" w:rsidR="0025499F" w:rsidRPr="0082085E" w:rsidRDefault="0025499F" w:rsidP="006C10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>Jautājums 3:</w:t>
            </w:r>
          </w:p>
          <w:p w14:paraId="78CF14F5" w14:textId="54DF9069" w:rsidR="0025499F" w:rsidRPr="0082085E" w:rsidRDefault="0025499F" w:rsidP="006C10EF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Vai polimērbetonu var nomainīt uz betonu? Un vai nevar veikt šuves izbūvi vienlaicīgi ar laiduma izbūvi un šuvi iebetonēt kopā ar laidumu, šuvei izmantojot betonu C40/50?</w:t>
            </w:r>
          </w:p>
        </w:tc>
        <w:tc>
          <w:tcPr>
            <w:tcW w:w="7116" w:type="dxa"/>
          </w:tcPr>
          <w:p w14:paraId="35ED90A3" w14:textId="6E9D3B1D" w:rsidR="00B50C02" w:rsidRPr="0082085E" w:rsidRDefault="00B50C02" w:rsidP="00B50C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 xml:space="preserve">Skaidrojums </w:t>
            </w:r>
            <w:r w:rsidR="00755C98" w:rsidRPr="0082085E">
              <w:rPr>
                <w:rFonts w:ascii="Times New Roman" w:hAnsi="Times New Roman" w:cs="Times New Roman"/>
                <w:b/>
              </w:rPr>
              <w:t>3</w:t>
            </w:r>
            <w:r w:rsidRPr="0082085E">
              <w:rPr>
                <w:rFonts w:ascii="Times New Roman" w:hAnsi="Times New Roman" w:cs="Times New Roman"/>
                <w:b/>
              </w:rPr>
              <w:t>:</w:t>
            </w:r>
          </w:p>
          <w:p w14:paraId="1984D98C" w14:textId="77777777" w:rsidR="00B50C02" w:rsidRPr="0082085E" w:rsidRDefault="00B50C02" w:rsidP="00B50C02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Polimērbetonu var aizvietot ar konstrukcijas konkrētās klases betonu, ja to pieļauj šuvju ražotāja tehnoloģija un ja tas nerada ūdens caursūkšanās riskus.</w:t>
            </w:r>
          </w:p>
          <w:p w14:paraId="6A24DDF4" w14:textId="4EC72D56" w:rsidR="0025499F" w:rsidRPr="0082085E" w:rsidRDefault="0025499F" w:rsidP="00F21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99F" w:rsidRPr="0082085E" w14:paraId="2815C854" w14:textId="77777777" w:rsidTr="005463B8">
        <w:trPr>
          <w:trHeight w:val="286"/>
        </w:trPr>
        <w:tc>
          <w:tcPr>
            <w:tcW w:w="562" w:type="dxa"/>
          </w:tcPr>
          <w:p w14:paraId="787AB989" w14:textId="5BC9FD42" w:rsidR="0025499F" w:rsidRPr="0082085E" w:rsidRDefault="0025499F">
            <w:pPr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2" w:type="dxa"/>
          </w:tcPr>
          <w:p w14:paraId="24962859" w14:textId="7F937DE9" w:rsidR="0025499F" w:rsidRPr="0082085E" w:rsidRDefault="0025499F" w:rsidP="00B50C02">
            <w:pPr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>Jautājums 4:</w:t>
            </w:r>
          </w:p>
          <w:p w14:paraId="6D4D68A4" w14:textId="1FB3FA5E" w:rsidR="0025499F" w:rsidRPr="0082085E" w:rsidRDefault="0025499F" w:rsidP="006C10EF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Kā ir paredzēts izveidot 20mm horizontālo spraugu starp laiduma konstrukciju un starpbalstu, mezgls „A" (ras. lapa BK-018), nebūs iespējams izvilkt ārā veidni spraugas izveidošanai?</w:t>
            </w:r>
          </w:p>
        </w:tc>
        <w:tc>
          <w:tcPr>
            <w:tcW w:w="7116" w:type="dxa"/>
          </w:tcPr>
          <w:p w14:paraId="1A611434" w14:textId="73805252" w:rsidR="00B50C02" w:rsidRPr="0082085E" w:rsidRDefault="00B50C02" w:rsidP="00B50C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 xml:space="preserve">Skaidrojums </w:t>
            </w:r>
            <w:r w:rsidR="00755C98" w:rsidRPr="0082085E">
              <w:rPr>
                <w:rFonts w:ascii="Times New Roman" w:hAnsi="Times New Roman" w:cs="Times New Roman"/>
                <w:b/>
              </w:rPr>
              <w:t>4</w:t>
            </w:r>
            <w:r w:rsidRPr="0082085E">
              <w:rPr>
                <w:rFonts w:ascii="Times New Roman" w:hAnsi="Times New Roman" w:cs="Times New Roman"/>
                <w:b/>
              </w:rPr>
              <w:t>:</w:t>
            </w:r>
          </w:p>
          <w:p w14:paraId="681562A1" w14:textId="683C6DB9" w:rsidR="00B50C02" w:rsidRPr="0082085E" w:rsidRDefault="00B50C02" w:rsidP="00B50C02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Ja būvuzņēmējs nevar izvilkt veidni, tad ir jāpielieto citāda betonēšanas secība vai metode, piemēram, izmantot iepriekš izgatavotus betona elementus, kurus pēc tam monolitizē.</w:t>
            </w:r>
          </w:p>
          <w:p w14:paraId="172CADD7" w14:textId="421DF241" w:rsidR="0025499F" w:rsidRPr="0082085E" w:rsidRDefault="0025499F" w:rsidP="00F21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99F" w:rsidRPr="0082085E" w14:paraId="47E524A6" w14:textId="77777777" w:rsidTr="005463B8">
        <w:trPr>
          <w:trHeight w:val="286"/>
        </w:trPr>
        <w:tc>
          <w:tcPr>
            <w:tcW w:w="562" w:type="dxa"/>
          </w:tcPr>
          <w:p w14:paraId="66B31355" w14:textId="4B7DBC51" w:rsidR="0025499F" w:rsidRPr="0082085E" w:rsidRDefault="0025499F">
            <w:pPr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2" w:type="dxa"/>
          </w:tcPr>
          <w:p w14:paraId="417B004F" w14:textId="564520A9" w:rsidR="0025499F" w:rsidRPr="0082085E" w:rsidRDefault="0025499F" w:rsidP="0082085E">
            <w:pPr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>Jautājums 5:</w:t>
            </w:r>
          </w:p>
          <w:p w14:paraId="05E5DBC2" w14:textId="5698A30B" w:rsidR="0025499F" w:rsidRPr="0082085E" w:rsidRDefault="0025499F" w:rsidP="006C10EF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Deformācijas šuves neliels posms ir zem parapeta (ras. lapa BK-022), veicot parapeta izbūvi sanāk betonējot atstāt nebetonētu posmu šuvei, pēc tam betonēt šuvi un pēc šuves iebetonēšanas veikt parapeta posma piebetonēšanu</w:t>
            </w:r>
          </w:p>
        </w:tc>
        <w:tc>
          <w:tcPr>
            <w:tcW w:w="7116" w:type="dxa"/>
          </w:tcPr>
          <w:p w14:paraId="6944FF21" w14:textId="3502C60B" w:rsidR="00B50C02" w:rsidRPr="0082085E" w:rsidRDefault="00B50C02" w:rsidP="00B50C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 xml:space="preserve">Skaidrojums </w:t>
            </w:r>
            <w:r w:rsidR="00755C98" w:rsidRPr="0082085E">
              <w:rPr>
                <w:rFonts w:ascii="Times New Roman" w:hAnsi="Times New Roman" w:cs="Times New Roman"/>
                <w:b/>
              </w:rPr>
              <w:t>5</w:t>
            </w:r>
            <w:r w:rsidRPr="0082085E">
              <w:rPr>
                <w:rFonts w:ascii="Times New Roman" w:hAnsi="Times New Roman" w:cs="Times New Roman"/>
                <w:b/>
              </w:rPr>
              <w:t>:</w:t>
            </w:r>
          </w:p>
          <w:p w14:paraId="7E66D879" w14:textId="77777777" w:rsidR="00B50C02" w:rsidRPr="0082085E" w:rsidRDefault="00B50C02" w:rsidP="00B50C02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Būvuzņēmējam ir jāizvēlas tik betonēšanas posmi, cik ir nepieciešams, lai izgatavotu kvalitatīvu betona elementu.</w:t>
            </w:r>
          </w:p>
          <w:p w14:paraId="7EF99564" w14:textId="5F34F8F5" w:rsidR="0025499F" w:rsidRPr="0082085E" w:rsidRDefault="0025499F" w:rsidP="00F21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99F" w:rsidRPr="0082085E" w14:paraId="0DE08D8A" w14:textId="77777777" w:rsidTr="005463B8">
        <w:trPr>
          <w:trHeight w:val="286"/>
        </w:trPr>
        <w:tc>
          <w:tcPr>
            <w:tcW w:w="562" w:type="dxa"/>
          </w:tcPr>
          <w:p w14:paraId="013967DF" w14:textId="57458BC2" w:rsidR="0025499F" w:rsidRPr="0082085E" w:rsidRDefault="0025499F">
            <w:pPr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92" w:type="dxa"/>
          </w:tcPr>
          <w:p w14:paraId="529EF467" w14:textId="467454E2" w:rsidR="0025499F" w:rsidRPr="0082085E" w:rsidRDefault="0025499F" w:rsidP="0082085E">
            <w:pPr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>Jautājums 6:</w:t>
            </w:r>
          </w:p>
          <w:p w14:paraId="12528A2A" w14:textId="65D1C621" w:rsidR="0025499F" w:rsidRPr="0082085E" w:rsidRDefault="0025499F" w:rsidP="006C10EF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Plaisu kontroles šuvju izbūve brauktuves un ietves izlīdzinošā slānī (darbu daudzumu saraksta p.5.4.), specifikāciju p. S7.129 norādīts, ka betona virsmā iegriež 3-5mm platu rievu un aizpilda ar polisulfīdu hermētiķi, bet tehn. projekta ras. lapā BK-003, griezumā 1-1 ir dots, ka iegriež 30-50mm platu rievu. Cik plata rieva ir jāiegriež betona virsmā?</w:t>
            </w:r>
          </w:p>
        </w:tc>
        <w:tc>
          <w:tcPr>
            <w:tcW w:w="7116" w:type="dxa"/>
          </w:tcPr>
          <w:p w14:paraId="6FD80E4B" w14:textId="77E9477A" w:rsidR="00B50C02" w:rsidRPr="0082085E" w:rsidRDefault="00B50C02" w:rsidP="00F21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 xml:space="preserve">Skaidrojums </w:t>
            </w:r>
            <w:r w:rsidR="00755C98" w:rsidRPr="0082085E">
              <w:rPr>
                <w:rFonts w:ascii="Times New Roman" w:hAnsi="Times New Roman" w:cs="Times New Roman"/>
                <w:b/>
              </w:rPr>
              <w:t>6</w:t>
            </w:r>
            <w:r w:rsidRPr="0082085E">
              <w:rPr>
                <w:rFonts w:ascii="Times New Roman" w:hAnsi="Times New Roman" w:cs="Times New Roman"/>
                <w:b/>
              </w:rPr>
              <w:t>:</w:t>
            </w:r>
          </w:p>
          <w:p w14:paraId="038B30EC" w14:textId="5B0290D0" w:rsidR="0025499F" w:rsidRPr="0082085E" w:rsidRDefault="00B50C02" w:rsidP="00F21D2D">
            <w:pPr>
              <w:jc w:val="both"/>
              <w:rPr>
                <w:rFonts w:ascii="Times New Roman" w:hAnsi="Times New Roman" w:cs="Times New Roman"/>
              </w:rPr>
            </w:pPr>
            <w:r w:rsidRPr="0082085E">
              <w:rPr>
                <w:rFonts w:ascii="Times New Roman" w:hAnsi="Times New Roman" w:cs="Times New Roman"/>
              </w:rPr>
              <w:t>Polisulfīdu hermētiķa vajadzībām izgriežamās rievas dimensijas veido pēc rasējumā BK-003 dotās shēmas.</w:t>
            </w:r>
          </w:p>
        </w:tc>
      </w:tr>
    </w:tbl>
    <w:p w14:paraId="510F4F51" w14:textId="09676AF3" w:rsidR="004840A3" w:rsidRPr="009346D4" w:rsidRDefault="004840A3">
      <w:pPr>
        <w:rPr>
          <w:rFonts w:ascii="Times New Roman" w:hAnsi="Times New Roman" w:cs="Times New Roman"/>
          <w:sz w:val="24"/>
          <w:szCs w:val="24"/>
        </w:rPr>
      </w:pPr>
    </w:p>
    <w:sectPr w:rsidR="004840A3" w:rsidRPr="009346D4" w:rsidSect="00B66F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F206C" w14:textId="77777777" w:rsidR="00364917" w:rsidRDefault="00364917" w:rsidP="00687CB4">
      <w:pPr>
        <w:spacing w:after="0" w:line="240" w:lineRule="auto"/>
      </w:pPr>
      <w:r>
        <w:separator/>
      </w:r>
    </w:p>
  </w:endnote>
  <w:endnote w:type="continuationSeparator" w:id="0">
    <w:p w14:paraId="246A5218" w14:textId="77777777" w:rsidR="00364917" w:rsidRDefault="00364917" w:rsidP="006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775BB" w14:textId="77777777" w:rsidR="00364917" w:rsidRDefault="00364917" w:rsidP="00687CB4">
      <w:pPr>
        <w:spacing w:after="0" w:line="240" w:lineRule="auto"/>
      </w:pPr>
      <w:r>
        <w:separator/>
      </w:r>
    </w:p>
  </w:footnote>
  <w:footnote w:type="continuationSeparator" w:id="0">
    <w:p w14:paraId="25EE7B9B" w14:textId="77777777" w:rsidR="00364917" w:rsidRDefault="00364917" w:rsidP="00687CB4">
      <w:pPr>
        <w:spacing w:after="0" w:line="240" w:lineRule="auto"/>
      </w:pPr>
      <w:r>
        <w:continuationSeparator/>
      </w:r>
    </w:p>
  </w:footnote>
  <w:footnote w:id="1">
    <w:p w14:paraId="2D2BA656" w14:textId="5E4B54E0" w:rsidR="00AB6AA8" w:rsidRDefault="00AB6A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6A2">
        <w:t xml:space="preserve">Ministru kabineta 2014.gada 19.augusta noteikumi Nr.500 “Vispārīgie būvnoteikumi”, spēkā no 2014.gada 1.oktobra, 1.pielikuma 2.tabula 2.punkts, skatīt: </w:t>
      </w:r>
      <w:hyperlink r:id="rId1" w:history="1">
        <w:r w:rsidRPr="004246A2">
          <w:rPr>
            <w:rStyle w:val="Hyperlink"/>
          </w:rPr>
          <w:t>https://likumi.lv/doc.php?id=269069</w:t>
        </w:r>
      </w:hyperlink>
      <w:r>
        <w:t>.</w:t>
      </w:r>
    </w:p>
  </w:footnote>
  <w:footnote w:id="2">
    <w:p w14:paraId="314D5F08" w14:textId="46FED31D" w:rsidR="00AB6AA8" w:rsidRDefault="00AB6AA8">
      <w:pPr>
        <w:pStyle w:val="FootnoteText"/>
      </w:pPr>
      <w:r>
        <w:rPr>
          <w:rStyle w:val="FootnoteReference"/>
        </w:rPr>
        <w:footnoteRef/>
      </w:r>
      <w:r>
        <w:t xml:space="preserve"> Ministru kabineta 2009.gada 22.decembra noteikumi Nr.1620 “Noteikumi par būvju klasifikāciju” pielikums, kods 2</w:t>
      </w:r>
      <w:r w:rsidR="00840405">
        <w:t>1</w:t>
      </w:r>
      <w:r>
        <w:t xml:space="preserve">4101, skatīt: </w:t>
      </w:r>
      <w:hyperlink r:id="rId2" w:history="1">
        <w:r w:rsidRPr="003A51BD">
          <w:rPr>
            <w:rStyle w:val="Hyperlink"/>
          </w:rPr>
          <w:t>https://likumi.lv/doc.php?id=202919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E1CBF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1">
    <w:nsid w:val="074061F2"/>
    <w:multiLevelType w:val="multilevel"/>
    <w:tmpl w:val="836A20F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B3E744B"/>
    <w:multiLevelType w:val="multilevel"/>
    <w:tmpl w:val="0A48EBE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C753B3"/>
    <w:multiLevelType w:val="multilevel"/>
    <w:tmpl w:val="674A0D0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170517"/>
    <w:multiLevelType w:val="multilevel"/>
    <w:tmpl w:val="DAD2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499" w:hanging="648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5A06DDC"/>
    <w:multiLevelType w:val="multilevel"/>
    <w:tmpl w:val="89588C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D884B0A"/>
    <w:multiLevelType w:val="singleLevel"/>
    <w:tmpl w:val="017099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CD10555"/>
    <w:multiLevelType w:val="singleLevel"/>
    <w:tmpl w:val="017099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943571B"/>
    <w:multiLevelType w:val="hybridMultilevel"/>
    <w:tmpl w:val="30AE03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7"/>
    <w:rsid w:val="00027C56"/>
    <w:rsid w:val="0004706B"/>
    <w:rsid w:val="00086BD9"/>
    <w:rsid w:val="00094442"/>
    <w:rsid w:val="000A136D"/>
    <w:rsid w:val="000B252B"/>
    <w:rsid w:val="000B2A7F"/>
    <w:rsid w:val="000C3002"/>
    <w:rsid w:val="000C6A15"/>
    <w:rsid w:val="000D0BE7"/>
    <w:rsid w:val="00117239"/>
    <w:rsid w:val="00130B41"/>
    <w:rsid w:val="00147392"/>
    <w:rsid w:val="00163B6F"/>
    <w:rsid w:val="0018735A"/>
    <w:rsid w:val="00191441"/>
    <w:rsid w:val="001B3056"/>
    <w:rsid w:val="001B5A14"/>
    <w:rsid w:val="001D69E7"/>
    <w:rsid w:val="001E285D"/>
    <w:rsid w:val="00206CE3"/>
    <w:rsid w:val="0025499F"/>
    <w:rsid w:val="00264141"/>
    <w:rsid w:val="0028248C"/>
    <w:rsid w:val="00283EE0"/>
    <w:rsid w:val="002B37F3"/>
    <w:rsid w:val="002D5942"/>
    <w:rsid w:val="002E4987"/>
    <w:rsid w:val="002F39B5"/>
    <w:rsid w:val="00302EAD"/>
    <w:rsid w:val="003151D0"/>
    <w:rsid w:val="003227F4"/>
    <w:rsid w:val="003418E7"/>
    <w:rsid w:val="00356079"/>
    <w:rsid w:val="00362AFF"/>
    <w:rsid w:val="00364917"/>
    <w:rsid w:val="00382606"/>
    <w:rsid w:val="0038525D"/>
    <w:rsid w:val="0038642B"/>
    <w:rsid w:val="00387210"/>
    <w:rsid w:val="003B0855"/>
    <w:rsid w:val="003C5BD1"/>
    <w:rsid w:val="003D48F2"/>
    <w:rsid w:val="003F6D91"/>
    <w:rsid w:val="004067A7"/>
    <w:rsid w:val="0041228F"/>
    <w:rsid w:val="004164E8"/>
    <w:rsid w:val="00421794"/>
    <w:rsid w:val="0042370A"/>
    <w:rsid w:val="004246A2"/>
    <w:rsid w:val="00440A17"/>
    <w:rsid w:val="00446762"/>
    <w:rsid w:val="00453EF0"/>
    <w:rsid w:val="004840A3"/>
    <w:rsid w:val="004F0917"/>
    <w:rsid w:val="004F3BC3"/>
    <w:rsid w:val="004F5032"/>
    <w:rsid w:val="00512A70"/>
    <w:rsid w:val="005236F2"/>
    <w:rsid w:val="00541AC1"/>
    <w:rsid w:val="005463B8"/>
    <w:rsid w:val="00583B08"/>
    <w:rsid w:val="005860C8"/>
    <w:rsid w:val="005A7893"/>
    <w:rsid w:val="005C4336"/>
    <w:rsid w:val="005F1038"/>
    <w:rsid w:val="00603DC2"/>
    <w:rsid w:val="00656577"/>
    <w:rsid w:val="0066247C"/>
    <w:rsid w:val="00673D03"/>
    <w:rsid w:val="00685727"/>
    <w:rsid w:val="00685AF9"/>
    <w:rsid w:val="00687CB4"/>
    <w:rsid w:val="006A251A"/>
    <w:rsid w:val="006A69CF"/>
    <w:rsid w:val="006B045C"/>
    <w:rsid w:val="006B7588"/>
    <w:rsid w:val="006C10EF"/>
    <w:rsid w:val="006F0C20"/>
    <w:rsid w:val="00725C09"/>
    <w:rsid w:val="007330C4"/>
    <w:rsid w:val="0073760B"/>
    <w:rsid w:val="00755C98"/>
    <w:rsid w:val="007A26B1"/>
    <w:rsid w:val="007B32BC"/>
    <w:rsid w:val="007F4D0A"/>
    <w:rsid w:val="0082085E"/>
    <w:rsid w:val="0083284E"/>
    <w:rsid w:val="00840405"/>
    <w:rsid w:val="00851D47"/>
    <w:rsid w:val="00870B56"/>
    <w:rsid w:val="00893283"/>
    <w:rsid w:val="00896CA9"/>
    <w:rsid w:val="008A5D32"/>
    <w:rsid w:val="008A6A2D"/>
    <w:rsid w:val="008B4C9C"/>
    <w:rsid w:val="008B62D4"/>
    <w:rsid w:val="008D16B6"/>
    <w:rsid w:val="008F3AF6"/>
    <w:rsid w:val="009137BC"/>
    <w:rsid w:val="009262AC"/>
    <w:rsid w:val="0093329A"/>
    <w:rsid w:val="009346D4"/>
    <w:rsid w:val="00972CDB"/>
    <w:rsid w:val="00975164"/>
    <w:rsid w:val="00984589"/>
    <w:rsid w:val="0098459C"/>
    <w:rsid w:val="009B754A"/>
    <w:rsid w:val="009D7060"/>
    <w:rsid w:val="00A13FD2"/>
    <w:rsid w:val="00A2540F"/>
    <w:rsid w:val="00A50D48"/>
    <w:rsid w:val="00A51FED"/>
    <w:rsid w:val="00A64936"/>
    <w:rsid w:val="00AB257E"/>
    <w:rsid w:val="00AB2B97"/>
    <w:rsid w:val="00AB6AA8"/>
    <w:rsid w:val="00AC69D0"/>
    <w:rsid w:val="00AD4836"/>
    <w:rsid w:val="00AE36E9"/>
    <w:rsid w:val="00AF15B1"/>
    <w:rsid w:val="00AF632D"/>
    <w:rsid w:val="00B10570"/>
    <w:rsid w:val="00B50C02"/>
    <w:rsid w:val="00B657E0"/>
    <w:rsid w:val="00B66874"/>
    <w:rsid w:val="00B66FAB"/>
    <w:rsid w:val="00B7025E"/>
    <w:rsid w:val="00BA0957"/>
    <w:rsid w:val="00BB6614"/>
    <w:rsid w:val="00BC36E8"/>
    <w:rsid w:val="00BC492C"/>
    <w:rsid w:val="00BD079F"/>
    <w:rsid w:val="00BD109B"/>
    <w:rsid w:val="00BD1C72"/>
    <w:rsid w:val="00BD2A03"/>
    <w:rsid w:val="00BE3931"/>
    <w:rsid w:val="00C31074"/>
    <w:rsid w:val="00C84A47"/>
    <w:rsid w:val="00C86AE4"/>
    <w:rsid w:val="00CB0052"/>
    <w:rsid w:val="00CB1234"/>
    <w:rsid w:val="00CC2089"/>
    <w:rsid w:val="00CF4559"/>
    <w:rsid w:val="00CF68E3"/>
    <w:rsid w:val="00D00D6A"/>
    <w:rsid w:val="00D05C77"/>
    <w:rsid w:val="00D34CC7"/>
    <w:rsid w:val="00D37075"/>
    <w:rsid w:val="00D6064B"/>
    <w:rsid w:val="00D70C14"/>
    <w:rsid w:val="00D95BAB"/>
    <w:rsid w:val="00DA50D6"/>
    <w:rsid w:val="00DA7234"/>
    <w:rsid w:val="00DC5A7E"/>
    <w:rsid w:val="00DE1D13"/>
    <w:rsid w:val="00DF3D40"/>
    <w:rsid w:val="00DF47C3"/>
    <w:rsid w:val="00E07BCE"/>
    <w:rsid w:val="00E21E35"/>
    <w:rsid w:val="00E3578D"/>
    <w:rsid w:val="00E4214A"/>
    <w:rsid w:val="00E56B02"/>
    <w:rsid w:val="00E727B9"/>
    <w:rsid w:val="00EA3260"/>
    <w:rsid w:val="00EB054E"/>
    <w:rsid w:val="00EF2B3B"/>
    <w:rsid w:val="00F21D2D"/>
    <w:rsid w:val="00F360AF"/>
    <w:rsid w:val="00F666AE"/>
    <w:rsid w:val="00F729FF"/>
    <w:rsid w:val="00F737C2"/>
    <w:rsid w:val="00FD39D6"/>
    <w:rsid w:val="00FE4E7E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11D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9F"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A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BD2A03"/>
    <w:rPr>
      <w:vertAlign w:val="superscript"/>
    </w:rPr>
  </w:style>
  <w:style w:type="paragraph" w:styleId="NoSpacing">
    <w:name w:val="No Spacing"/>
    <w:uiPriority w:val="1"/>
    <w:qFormat/>
    <w:rsid w:val="00BD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9F"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A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BD2A03"/>
    <w:rPr>
      <w:vertAlign w:val="superscript"/>
    </w:rPr>
  </w:style>
  <w:style w:type="paragraph" w:styleId="NoSpacing">
    <w:name w:val="No Spacing"/>
    <w:uiPriority w:val="1"/>
    <w:qFormat/>
    <w:rsid w:val="00BD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1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epajas-tramvajs.lv/lv/iepirkum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doc.php?id=202919" TargetMode="External"/><Relationship Id="rId1" Type="http://schemas.openxmlformats.org/officeDocument/2006/relationships/hyperlink" Target="https://likumi.lv/doc.php?id=269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AF77-81AA-4272-9130-53DEC43E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</dc:creator>
  <cp:lastModifiedBy>Anete Skujina</cp:lastModifiedBy>
  <cp:revision>11</cp:revision>
  <cp:lastPrinted>2017-03-28T12:55:00Z</cp:lastPrinted>
  <dcterms:created xsi:type="dcterms:W3CDTF">2017-04-13T05:18:00Z</dcterms:created>
  <dcterms:modified xsi:type="dcterms:W3CDTF">2017-04-21T07:27:00Z</dcterms:modified>
</cp:coreProperties>
</file>